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6" w:lineRule="exact"/>
        <w:ind w:firstLine="0"/>
        <w:jc w:val="left"/>
        <w:rPr>
          <w:rFonts w:ascii="Times New Roman" w:hAnsi="Times New Roman"/>
          <w:b w:val="0"/>
          <w:bCs/>
          <w:sz w:val="32"/>
          <w:szCs w:val="28"/>
        </w:rPr>
      </w:pPr>
      <w:r>
        <w:rPr>
          <w:rFonts w:ascii="Times New Roman" w:hAnsi="黑体"/>
          <w:b w:val="0"/>
          <w:bCs/>
          <w:sz w:val="32"/>
          <w:szCs w:val="28"/>
        </w:rPr>
        <w:t>附件</w:t>
      </w:r>
      <w:r>
        <w:rPr>
          <w:rFonts w:ascii="Times New Roman" w:hAnsi="Times New Roman"/>
          <w:b w:val="0"/>
          <w:bCs/>
          <w:sz w:val="32"/>
          <w:szCs w:val="28"/>
        </w:rPr>
        <w:t>1</w:t>
      </w:r>
    </w:p>
    <w:p>
      <w:pPr>
        <w:pStyle w:val="3"/>
        <w:spacing w:line="576" w:lineRule="exact"/>
        <w:rPr>
          <w:rFonts w:ascii="Times New Roman" w:hAnsi="Times New Roman" w:eastAsia="方正小标宋简体"/>
          <w:b w:val="0"/>
          <w:bCs/>
          <w:sz w:val="36"/>
          <w:szCs w:val="36"/>
        </w:rPr>
      </w:pPr>
      <w:r>
        <w:rPr>
          <w:rFonts w:ascii="Times New Roman" w:hAnsi="Times New Roman" w:eastAsia="方正小标宋简体"/>
          <w:b w:val="0"/>
          <w:bCs/>
          <w:sz w:val="36"/>
          <w:szCs w:val="36"/>
        </w:rPr>
        <w:t>2023</w:t>
      </w:r>
      <w:r>
        <w:rPr>
          <w:rFonts w:ascii="Times New Roman" w:hAnsi="方正小标宋简体" w:eastAsia="方正小标宋简体"/>
          <w:b w:val="0"/>
          <w:bCs/>
          <w:sz w:val="36"/>
          <w:szCs w:val="36"/>
        </w:rPr>
        <w:t>年度调研课题责任清单</w:t>
      </w:r>
      <w:r>
        <w:rPr>
          <w:rFonts w:ascii="Times New Roman" w:hAnsi="楷体_GB2312" w:eastAsia="楷体_GB2312"/>
          <w:b w:val="0"/>
          <w:bCs/>
          <w:sz w:val="36"/>
          <w:szCs w:val="36"/>
        </w:rPr>
        <w:t>（</w:t>
      </w:r>
      <w:r>
        <w:rPr>
          <w:rFonts w:ascii="Times New Roman" w:hAnsi="楷体_GB2312" w:eastAsia="楷体_GB2312"/>
          <w:b w:val="0"/>
          <w:bCs/>
          <w:spacing w:val="2"/>
          <w:sz w:val="36"/>
          <w:szCs w:val="36"/>
        </w:rPr>
        <w:t>局领导</w:t>
      </w:r>
      <w:r>
        <w:rPr>
          <w:rFonts w:ascii="Times New Roman" w:hAnsi="楷体_GB2312" w:eastAsia="楷体_GB2312"/>
          <w:b w:val="0"/>
          <w:bCs/>
          <w:sz w:val="36"/>
          <w:szCs w:val="36"/>
        </w:rPr>
        <w:t>）</w:t>
      </w:r>
    </w:p>
    <w:tbl>
      <w:tblPr>
        <w:tblStyle w:val="7"/>
        <w:tblpPr w:leftFromText="180" w:rightFromText="180" w:vertAnchor="text" w:horzAnchor="page" w:tblpX="1614" w:tblpY="305"/>
        <w:tblOverlap w:val="never"/>
        <w:tblW w:w="48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
        <w:gridCol w:w="600"/>
        <w:gridCol w:w="2779"/>
        <w:gridCol w:w="10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25" w:type="pct"/>
            <w:noWrap/>
            <w:vAlign w:val="center"/>
          </w:tcPr>
          <w:p>
            <w:pPr>
              <w:pStyle w:val="3"/>
              <w:ind w:firstLine="0"/>
              <w:outlineLvl w:val="3"/>
              <w:rPr>
                <w:rFonts w:ascii="Times New Roman" w:hAnsi="Times New Roman"/>
                <w:b w:val="0"/>
                <w:bCs/>
              </w:rPr>
            </w:pPr>
            <w:r>
              <w:rPr>
                <w:rFonts w:ascii="Times New Roman"/>
                <w:b w:val="0"/>
                <w:bCs/>
              </w:rPr>
              <w:t>序号</w:t>
            </w:r>
          </w:p>
        </w:tc>
        <w:tc>
          <w:tcPr>
            <w:tcW w:w="680" w:type="pct"/>
            <w:noWrap/>
            <w:vAlign w:val="center"/>
          </w:tcPr>
          <w:p>
            <w:pPr>
              <w:pStyle w:val="3"/>
              <w:ind w:firstLine="0"/>
              <w:outlineLvl w:val="3"/>
              <w:rPr>
                <w:rFonts w:ascii="Times New Roman" w:hAnsi="Times New Roman"/>
                <w:b w:val="0"/>
                <w:bCs/>
              </w:rPr>
            </w:pPr>
            <w:r>
              <w:rPr>
                <w:rFonts w:ascii="Times New Roman"/>
                <w:b w:val="0"/>
                <w:bCs/>
              </w:rPr>
              <w:t>牵头领导</w:t>
            </w:r>
          </w:p>
        </w:tc>
        <w:tc>
          <w:tcPr>
            <w:tcW w:w="1221" w:type="pct"/>
            <w:noWrap/>
            <w:vAlign w:val="center"/>
          </w:tcPr>
          <w:p>
            <w:pPr>
              <w:pStyle w:val="3"/>
              <w:ind w:firstLine="0"/>
              <w:outlineLvl w:val="3"/>
              <w:rPr>
                <w:rFonts w:ascii="Times New Roman" w:hAnsi="Times New Roman"/>
                <w:b w:val="0"/>
                <w:bCs/>
              </w:rPr>
            </w:pPr>
            <w:r>
              <w:rPr>
                <w:rFonts w:ascii="Times New Roman"/>
                <w:b w:val="0"/>
                <w:bCs/>
              </w:rPr>
              <w:t>调研课题</w:t>
            </w:r>
          </w:p>
        </w:tc>
        <w:tc>
          <w:tcPr>
            <w:tcW w:w="2772" w:type="pct"/>
            <w:noWrap/>
            <w:vAlign w:val="center"/>
          </w:tcPr>
          <w:p>
            <w:pPr>
              <w:pStyle w:val="3"/>
              <w:ind w:firstLine="0"/>
              <w:outlineLvl w:val="3"/>
              <w:rPr>
                <w:rFonts w:ascii="Times New Roman" w:hAnsi="Times New Roman"/>
                <w:b w:val="0"/>
                <w:bCs/>
              </w:rPr>
            </w:pPr>
            <w:r>
              <w:rPr>
                <w:rFonts w:ascii="Times New Roman"/>
                <w:b w:val="0"/>
                <w:bCs/>
              </w:rPr>
              <w:t>解决的问题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exact"/>
        </w:trPr>
        <w:tc>
          <w:tcPr>
            <w:tcW w:w="325"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w:t>
            </w:r>
          </w:p>
        </w:tc>
        <w:tc>
          <w:tcPr>
            <w:tcW w:w="680"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姚涌</w:t>
            </w:r>
          </w:p>
        </w:tc>
        <w:tc>
          <w:tcPr>
            <w:tcW w:w="1221"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加强西安市城市安全风险综合监测预警平台建设，提升我市防范化解风险能力</w:t>
            </w:r>
          </w:p>
        </w:tc>
        <w:tc>
          <w:tcPr>
            <w:tcW w:w="2772" w:type="pct"/>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结合我市实际，在实现水、电、气、热、城市内涝感知覆盖的基础上，聚焦城市生命线、公共安全、生产安全和自然灾害等重点领域，建设综合性城市安全运行监测预警平台，形成上下贯通、实时交互，人防、技防和物防有机融合，安全运行</w:t>
            </w:r>
            <w:r>
              <w:rPr>
                <w:rFonts w:ascii="Times New Roman" w:hAnsi="Times New Roman" w:eastAsia="仿宋_GB2312"/>
                <w:b w:val="0"/>
                <w:bCs/>
                <w:sz w:val="22"/>
                <w:szCs w:val="21"/>
              </w:rPr>
              <w:t>“</w:t>
            </w:r>
            <w:r>
              <w:rPr>
                <w:rFonts w:ascii="Times New Roman" w:hAnsi="仿宋_GB2312" w:eastAsia="仿宋_GB2312"/>
                <w:b w:val="0"/>
                <w:bCs/>
                <w:sz w:val="22"/>
                <w:szCs w:val="21"/>
              </w:rPr>
              <w:t>全监测</w:t>
            </w:r>
            <w:r>
              <w:rPr>
                <w:rFonts w:ascii="Times New Roman" w:hAnsi="Times New Roman" w:eastAsia="仿宋_GB2312"/>
                <w:b w:val="0"/>
                <w:bCs/>
                <w:sz w:val="22"/>
                <w:szCs w:val="21"/>
              </w:rPr>
              <w:t>”</w:t>
            </w:r>
            <w:r>
              <w:rPr>
                <w:rFonts w:ascii="Times New Roman" w:hAnsi="仿宋_GB2312" w:eastAsia="仿宋_GB2312"/>
                <w:b w:val="0"/>
                <w:bCs/>
                <w:sz w:val="22"/>
                <w:szCs w:val="21"/>
              </w:rPr>
              <w:t>，重大预警</w:t>
            </w:r>
            <w:r>
              <w:rPr>
                <w:rFonts w:ascii="Times New Roman" w:hAnsi="Times New Roman" w:eastAsia="仿宋_GB2312"/>
                <w:b w:val="0"/>
                <w:bCs/>
                <w:sz w:val="22"/>
                <w:szCs w:val="21"/>
              </w:rPr>
              <w:t>“</w:t>
            </w:r>
            <w:r>
              <w:rPr>
                <w:rFonts w:ascii="Times New Roman" w:hAnsi="仿宋_GB2312" w:eastAsia="仿宋_GB2312"/>
                <w:b w:val="0"/>
                <w:bCs/>
                <w:sz w:val="22"/>
                <w:szCs w:val="21"/>
              </w:rPr>
              <w:t>全接报</w:t>
            </w:r>
            <w:r>
              <w:rPr>
                <w:rFonts w:ascii="Times New Roman" w:hAnsi="Times New Roman" w:eastAsia="仿宋_GB2312"/>
                <w:b w:val="0"/>
                <w:bCs/>
                <w:sz w:val="22"/>
                <w:szCs w:val="21"/>
              </w:rPr>
              <w:t>”</w:t>
            </w:r>
            <w:r>
              <w:rPr>
                <w:rFonts w:ascii="Times New Roman" w:hAnsi="仿宋_GB2312" w:eastAsia="仿宋_GB2312"/>
                <w:b w:val="0"/>
                <w:bCs/>
                <w:sz w:val="22"/>
                <w:szCs w:val="21"/>
              </w:rPr>
              <w:t>，风险管控</w:t>
            </w:r>
            <w:r>
              <w:rPr>
                <w:rFonts w:ascii="Times New Roman" w:hAnsi="Times New Roman" w:eastAsia="仿宋_GB2312"/>
                <w:b w:val="0"/>
                <w:bCs/>
                <w:sz w:val="22"/>
                <w:szCs w:val="21"/>
              </w:rPr>
              <w:t>“</w:t>
            </w:r>
            <w:r>
              <w:rPr>
                <w:rFonts w:ascii="Times New Roman" w:hAnsi="仿宋_GB2312" w:eastAsia="仿宋_GB2312"/>
                <w:b w:val="0"/>
                <w:bCs/>
                <w:sz w:val="22"/>
                <w:szCs w:val="21"/>
              </w:rPr>
              <w:t>全覆盖</w:t>
            </w:r>
            <w:r>
              <w:rPr>
                <w:rFonts w:ascii="Times New Roman" w:hAnsi="Times New Roman" w:eastAsia="仿宋_GB2312"/>
                <w:b w:val="0"/>
                <w:bCs/>
                <w:sz w:val="22"/>
                <w:szCs w:val="21"/>
              </w:rPr>
              <w:t>”</w:t>
            </w:r>
            <w:r>
              <w:rPr>
                <w:rFonts w:ascii="Times New Roman" w:hAnsi="仿宋_GB2312" w:eastAsia="仿宋_GB2312"/>
                <w:b w:val="0"/>
                <w:bCs/>
                <w:sz w:val="22"/>
                <w:szCs w:val="21"/>
              </w:rPr>
              <w:t>，突发事件</w:t>
            </w:r>
            <w:r>
              <w:rPr>
                <w:rFonts w:ascii="Times New Roman" w:hAnsi="Times New Roman" w:eastAsia="仿宋_GB2312"/>
                <w:b w:val="0"/>
                <w:bCs/>
                <w:sz w:val="22"/>
                <w:szCs w:val="21"/>
              </w:rPr>
              <w:t>“</w:t>
            </w:r>
            <w:r>
              <w:rPr>
                <w:rFonts w:ascii="Times New Roman" w:hAnsi="仿宋_GB2312" w:eastAsia="仿宋_GB2312"/>
                <w:b w:val="0"/>
                <w:bCs/>
                <w:sz w:val="22"/>
                <w:szCs w:val="21"/>
              </w:rPr>
              <w:t>快处置</w:t>
            </w:r>
            <w:r>
              <w:rPr>
                <w:rFonts w:ascii="Times New Roman" w:hAnsi="Times New Roman" w:eastAsia="仿宋_GB2312"/>
                <w:b w:val="0"/>
                <w:bCs/>
                <w:sz w:val="22"/>
                <w:szCs w:val="21"/>
              </w:rPr>
              <w:t>”</w:t>
            </w:r>
            <w:r>
              <w:rPr>
                <w:rFonts w:ascii="Times New Roman" w:hAnsi="仿宋_GB2312" w:eastAsia="仿宋_GB2312"/>
                <w:b w:val="0"/>
                <w:bCs/>
                <w:sz w:val="22"/>
                <w:szCs w:val="21"/>
              </w:rPr>
              <w:t>的智慧应急新模式。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exact"/>
        </w:trPr>
        <w:tc>
          <w:tcPr>
            <w:tcW w:w="325"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2</w:t>
            </w:r>
          </w:p>
        </w:tc>
        <w:tc>
          <w:tcPr>
            <w:tcW w:w="680"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陈选良</w:t>
            </w:r>
          </w:p>
        </w:tc>
        <w:tc>
          <w:tcPr>
            <w:tcW w:w="1221"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全面建强西安市基层应急管理</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体系和能力</w:t>
            </w:r>
          </w:p>
        </w:tc>
        <w:tc>
          <w:tcPr>
            <w:tcW w:w="2772" w:type="pct"/>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通过解决基层应急管理工作机制不健全，机构覆盖不足，人员力量不够、专业能力不高、风险防范意识和能力不强等现状，推动公共安全治理模式向事前预防转型，统一指挥、专常兼备、反应灵敏、上下联动的应急管理体制，提高基层防灾减灾救灾和急难险重突发公共事件处置保障能力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exact"/>
        </w:trPr>
        <w:tc>
          <w:tcPr>
            <w:tcW w:w="325"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3</w:t>
            </w:r>
          </w:p>
        </w:tc>
        <w:tc>
          <w:tcPr>
            <w:tcW w:w="680"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段胜利</w:t>
            </w:r>
          </w:p>
        </w:tc>
        <w:tc>
          <w:tcPr>
            <w:tcW w:w="1221"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如何提升干部干事创业内生动力</w:t>
            </w:r>
          </w:p>
        </w:tc>
        <w:tc>
          <w:tcPr>
            <w:tcW w:w="2772" w:type="pct"/>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通过调研活动，对全市应急管理干部在干事创业、担当履职方面存在的共性问题进行梳理，分析原因，研究实践解决途径和方法，进一步提升全市应急管理干部队伍建设。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325"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4</w:t>
            </w:r>
          </w:p>
        </w:tc>
        <w:tc>
          <w:tcPr>
            <w:tcW w:w="680"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方博</w:t>
            </w:r>
          </w:p>
        </w:tc>
        <w:tc>
          <w:tcPr>
            <w:tcW w:w="1221"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汛期人员转移避险现状及</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措施调查</w:t>
            </w:r>
          </w:p>
        </w:tc>
        <w:tc>
          <w:tcPr>
            <w:tcW w:w="2772" w:type="pct"/>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摸清我市汛期人员转移避险组织方式、安置场所、管理模式、保障条件及相关预警发出后响应措施落实情况，为进一步拓展防汛预警预报方式，优化组织指挥模式，完善转移避险机制奠定基础，确保汛期人民群众生命财产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exact"/>
        </w:trPr>
        <w:tc>
          <w:tcPr>
            <w:tcW w:w="325"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5</w:t>
            </w:r>
          </w:p>
        </w:tc>
        <w:tc>
          <w:tcPr>
            <w:tcW w:w="680"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党晓春</w:t>
            </w:r>
          </w:p>
        </w:tc>
        <w:tc>
          <w:tcPr>
            <w:tcW w:w="1221"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西安市危险化学品重大危险源企业安全生产主体责任落实情况及对策</w:t>
            </w:r>
          </w:p>
        </w:tc>
        <w:tc>
          <w:tcPr>
            <w:tcW w:w="2772" w:type="pct"/>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全面分析研判我市危险化学品重大危险源企业安全管理现状，立足</w:t>
            </w:r>
            <w:r>
              <w:rPr>
                <w:rFonts w:ascii="Times New Roman" w:hAnsi="Times New Roman" w:eastAsia="仿宋_GB2312"/>
                <w:b w:val="0"/>
                <w:bCs/>
                <w:sz w:val="22"/>
                <w:szCs w:val="21"/>
              </w:rPr>
              <w:t>“</w:t>
            </w:r>
            <w:r>
              <w:rPr>
                <w:rFonts w:ascii="Times New Roman" w:hAnsi="仿宋_GB2312" w:eastAsia="仿宋_GB2312"/>
                <w:b w:val="0"/>
                <w:bCs/>
                <w:sz w:val="22"/>
                <w:szCs w:val="21"/>
              </w:rPr>
              <w:t>从根本上消除事故隐患、从根本上解决问题</w:t>
            </w:r>
            <w:r>
              <w:rPr>
                <w:rFonts w:ascii="Times New Roman" w:hAnsi="Times New Roman" w:eastAsia="仿宋_GB2312"/>
                <w:b w:val="0"/>
                <w:bCs/>
                <w:sz w:val="22"/>
                <w:szCs w:val="21"/>
              </w:rPr>
              <w:t>”</w:t>
            </w:r>
            <w:r>
              <w:rPr>
                <w:rFonts w:ascii="Times New Roman" w:hAnsi="仿宋_GB2312" w:eastAsia="仿宋_GB2312"/>
                <w:b w:val="0"/>
                <w:bCs/>
                <w:sz w:val="22"/>
                <w:szCs w:val="21"/>
              </w:rPr>
              <w:t>，切实夯实企业安全生产主体责任。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325"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6</w:t>
            </w:r>
          </w:p>
        </w:tc>
        <w:tc>
          <w:tcPr>
            <w:tcW w:w="680"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刘永峰</w:t>
            </w:r>
          </w:p>
        </w:tc>
        <w:tc>
          <w:tcPr>
            <w:tcW w:w="1221"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区县</w:t>
            </w:r>
            <w:r>
              <w:rPr>
                <w:rFonts w:ascii="Times New Roman" w:hAnsi="Times New Roman" w:eastAsia="仿宋_GB2312"/>
                <w:b w:val="0"/>
                <w:bCs/>
                <w:sz w:val="22"/>
                <w:szCs w:val="21"/>
              </w:rPr>
              <w:t>-</w:t>
            </w:r>
            <w:r>
              <w:rPr>
                <w:rFonts w:ascii="Times New Roman" w:hAnsi="仿宋_GB2312" w:eastAsia="仿宋_GB2312"/>
                <w:b w:val="0"/>
                <w:bCs/>
                <w:sz w:val="22"/>
                <w:szCs w:val="21"/>
              </w:rPr>
              <w:t>镇街属地化联动执法</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模式探讨</w:t>
            </w:r>
          </w:p>
        </w:tc>
        <w:tc>
          <w:tcPr>
            <w:tcW w:w="2772" w:type="pct"/>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着力解决镇街应急管理执法力量薄弱和区县</w:t>
            </w:r>
            <w:r>
              <w:rPr>
                <w:rFonts w:ascii="Times New Roman" w:hAnsi="Times New Roman" w:eastAsia="仿宋_GB2312"/>
                <w:b w:val="0"/>
                <w:bCs/>
                <w:sz w:val="22"/>
                <w:szCs w:val="21"/>
              </w:rPr>
              <w:t>-</w:t>
            </w:r>
            <w:r>
              <w:rPr>
                <w:rFonts w:ascii="Times New Roman" w:hAnsi="仿宋_GB2312" w:eastAsia="仿宋_GB2312"/>
                <w:b w:val="0"/>
                <w:bCs/>
                <w:sz w:val="22"/>
                <w:szCs w:val="21"/>
              </w:rPr>
              <w:t>镇街执法衔接不畅的问题。</w:t>
            </w:r>
          </w:p>
        </w:tc>
      </w:tr>
    </w:tbl>
    <w:p>
      <w:pPr>
        <w:pStyle w:val="3"/>
        <w:spacing w:line="576" w:lineRule="exact"/>
        <w:ind w:firstLine="0"/>
        <w:jc w:val="left"/>
        <w:rPr>
          <w:rFonts w:ascii="Times New Roman" w:hAnsi="Times New Roman"/>
          <w:b w:val="0"/>
          <w:bCs/>
          <w:sz w:val="32"/>
          <w:szCs w:val="28"/>
        </w:rPr>
      </w:pPr>
    </w:p>
    <w:p>
      <w:pPr>
        <w:pStyle w:val="3"/>
        <w:spacing w:line="576" w:lineRule="exact"/>
        <w:ind w:firstLine="0"/>
        <w:jc w:val="left"/>
        <w:rPr>
          <w:rFonts w:ascii="Times New Roman" w:hAnsi="Times New Roman"/>
          <w:b w:val="0"/>
          <w:bCs/>
          <w:sz w:val="32"/>
          <w:szCs w:val="28"/>
        </w:rPr>
      </w:pPr>
    </w:p>
    <w:p>
      <w:pPr>
        <w:pStyle w:val="3"/>
        <w:spacing w:line="576" w:lineRule="exact"/>
        <w:ind w:firstLine="0"/>
        <w:jc w:val="left"/>
        <w:rPr>
          <w:rFonts w:ascii="Times New Roman" w:hAnsi="Times New Roman"/>
          <w:b w:val="0"/>
          <w:bCs/>
          <w:sz w:val="32"/>
          <w:szCs w:val="28"/>
        </w:rPr>
      </w:pPr>
    </w:p>
    <w:p>
      <w:pPr>
        <w:pStyle w:val="3"/>
        <w:spacing w:line="576" w:lineRule="exact"/>
        <w:ind w:firstLine="0"/>
        <w:jc w:val="left"/>
        <w:rPr>
          <w:rFonts w:ascii="Times New Roman" w:hAnsi="Times New Roman"/>
          <w:b w:val="0"/>
          <w:bCs/>
          <w:sz w:val="32"/>
          <w:szCs w:val="28"/>
        </w:rPr>
      </w:pPr>
    </w:p>
    <w:p>
      <w:pPr>
        <w:rPr>
          <w:rFonts w:ascii="Times New Roman" w:hAnsi="Times New Roman" w:eastAsia="黑体"/>
          <w:bCs/>
          <w:szCs w:val="28"/>
        </w:rPr>
      </w:pPr>
    </w:p>
    <w:p>
      <w:pPr>
        <w:pStyle w:val="2"/>
        <w:rPr>
          <w:rFonts w:ascii="Times New Roman" w:hAnsi="Times New Roman"/>
        </w:rPr>
      </w:pPr>
    </w:p>
    <w:p>
      <w:pPr>
        <w:pStyle w:val="3"/>
        <w:spacing w:line="576" w:lineRule="exact"/>
        <w:ind w:firstLine="0"/>
        <w:jc w:val="left"/>
        <w:rPr>
          <w:rFonts w:ascii="Times New Roman" w:hAnsi="Times New Roman"/>
          <w:b w:val="0"/>
          <w:bCs/>
          <w:sz w:val="32"/>
          <w:szCs w:val="28"/>
        </w:rPr>
      </w:pPr>
      <w:r>
        <w:rPr>
          <w:rFonts w:ascii="Times New Roman" w:hAnsi="黑体"/>
          <w:b w:val="0"/>
          <w:bCs/>
          <w:sz w:val="32"/>
          <w:szCs w:val="28"/>
        </w:rPr>
        <w:t>附件</w:t>
      </w:r>
      <w:r>
        <w:rPr>
          <w:rFonts w:ascii="Times New Roman" w:hAnsi="Times New Roman"/>
          <w:b w:val="0"/>
          <w:bCs/>
          <w:sz w:val="32"/>
          <w:szCs w:val="28"/>
        </w:rPr>
        <w:t>2</w:t>
      </w:r>
    </w:p>
    <w:p>
      <w:pPr>
        <w:pStyle w:val="3"/>
        <w:spacing w:line="576" w:lineRule="exact"/>
        <w:rPr>
          <w:rFonts w:ascii="Times New Roman" w:hAnsi="Times New Roman" w:eastAsia="楷体_GB2312"/>
          <w:b w:val="0"/>
          <w:bCs/>
          <w:spacing w:val="2"/>
          <w:sz w:val="36"/>
          <w:szCs w:val="36"/>
        </w:rPr>
      </w:pPr>
      <w:r>
        <w:rPr>
          <w:rFonts w:ascii="Times New Roman" w:hAnsi="Times New Roman" w:eastAsia="方正小标宋简体"/>
          <w:b w:val="0"/>
          <w:bCs/>
          <w:sz w:val="36"/>
          <w:szCs w:val="36"/>
        </w:rPr>
        <w:t>2023</w:t>
      </w:r>
      <w:r>
        <w:rPr>
          <w:rFonts w:ascii="Times New Roman" w:hAnsi="方正小标宋简体" w:eastAsia="方正小标宋简体"/>
          <w:b w:val="0"/>
          <w:bCs/>
          <w:sz w:val="36"/>
          <w:szCs w:val="36"/>
        </w:rPr>
        <w:t>年度调研课题责任清单</w:t>
      </w:r>
      <w:r>
        <w:rPr>
          <w:rFonts w:ascii="Times New Roman" w:hAnsi="楷体_GB2312" w:eastAsia="楷体_GB2312"/>
          <w:b w:val="0"/>
          <w:bCs/>
          <w:spacing w:val="2"/>
          <w:sz w:val="36"/>
          <w:szCs w:val="36"/>
        </w:rPr>
        <w:t>（各处室、单位）</w:t>
      </w:r>
    </w:p>
    <w:tbl>
      <w:tblPr>
        <w:tblStyle w:val="7"/>
        <w:tblpPr w:leftFromText="180" w:rightFromText="180" w:vertAnchor="text" w:horzAnchor="page" w:tblpX="1205" w:tblpY="5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2628"/>
        <w:gridCol w:w="8501"/>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tcPr>
          <w:p>
            <w:pPr>
              <w:pStyle w:val="3"/>
              <w:ind w:firstLine="0"/>
              <w:outlineLvl w:val="3"/>
              <w:rPr>
                <w:rFonts w:ascii="Times New Roman" w:hAnsi="Times New Roman" w:eastAsia="方正小标宋简体"/>
                <w:b w:val="0"/>
                <w:bCs/>
                <w:sz w:val="36"/>
                <w:szCs w:val="36"/>
              </w:rPr>
            </w:pPr>
            <w:r>
              <w:rPr>
                <w:rFonts w:ascii="Times New Roman"/>
                <w:b w:val="0"/>
                <w:bCs/>
              </w:rPr>
              <w:t>序号</w:t>
            </w:r>
          </w:p>
        </w:tc>
        <w:tc>
          <w:tcPr>
            <w:tcW w:w="2628" w:type="dxa"/>
            <w:noWrap/>
            <w:vAlign w:val="center"/>
          </w:tcPr>
          <w:p>
            <w:pPr>
              <w:pStyle w:val="3"/>
              <w:ind w:firstLine="0"/>
              <w:outlineLvl w:val="3"/>
              <w:rPr>
                <w:rFonts w:ascii="Times New Roman" w:hAnsi="Times New Roman"/>
                <w:b w:val="0"/>
                <w:bCs/>
              </w:rPr>
            </w:pPr>
            <w:r>
              <w:rPr>
                <w:rFonts w:ascii="Times New Roman"/>
                <w:b w:val="0"/>
                <w:bCs/>
              </w:rPr>
              <w:t>调研课题</w:t>
            </w:r>
          </w:p>
        </w:tc>
        <w:tc>
          <w:tcPr>
            <w:tcW w:w="8501" w:type="dxa"/>
            <w:noWrap/>
            <w:vAlign w:val="center"/>
          </w:tcPr>
          <w:p>
            <w:pPr>
              <w:pStyle w:val="3"/>
              <w:ind w:firstLine="0"/>
              <w:outlineLvl w:val="3"/>
              <w:rPr>
                <w:rFonts w:ascii="Times New Roman" w:hAnsi="Times New Roman"/>
                <w:b w:val="0"/>
                <w:bCs/>
              </w:rPr>
            </w:pPr>
            <w:r>
              <w:rPr>
                <w:rFonts w:ascii="Times New Roman"/>
                <w:b w:val="0"/>
                <w:bCs/>
              </w:rPr>
              <w:t>解决的问题</w:t>
            </w:r>
          </w:p>
        </w:tc>
        <w:tc>
          <w:tcPr>
            <w:tcW w:w="2156" w:type="dxa"/>
            <w:noWrap/>
            <w:vAlign w:val="center"/>
          </w:tcPr>
          <w:p>
            <w:pPr>
              <w:pStyle w:val="3"/>
              <w:ind w:firstLine="0"/>
              <w:outlineLvl w:val="3"/>
              <w:rPr>
                <w:rFonts w:ascii="Times New Roman" w:hAnsi="Times New Roman"/>
                <w:b w:val="0"/>
                <w:bCs/>
              </w:rPr>
            </w:pPr>
            <w:r>
              <w:rPr>
                <w:rFonts w:ascii="Times New Roman"/>
                <w:b w:val="0"/>
                <w:bCs/>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w:t>
            </w:r>
          </w:p>
        </w:tc>
        <w:tc>
          <w:tcPr>
            <w:tcW w:w="2628" w:type="dxa"/>
            <w:noWrap/>
            <w:vAlign w:val="center"/>
          </w:tcPr>
          <w:p>
            <w:pPr>
              <w:jc w:val="center"/>
              <w:rPr>
                <w:rFonts w:ascii="Times New Roman" w:hAnsi="Times New Roman"/>
                <w:bCs/>
                <w:sz w:val="22"/>
                <w:szCs w:val="21"/>
              </w:rPr>
            </w:pPr>
            <w:r>
              <w:rPr>
                <w:rFonts w:ascii="Times New Roman" w:hAnsi="仿宋_GB2312"/>
                <w:bCs/>
                <w:sz w:val="22"/>
                <w:szCs w:val="21"/>
              </w:rPr>
              <w:t>主要业务工作创新任务对应急管理工作的提升作用</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对</w:t>
            </w:r>
            <w:r>
              <w:rPr>
                <w:rFonts w:ascii="Times New Roman" w:hAnsi="Times New Roman" w:eastAsia="仿宋_GB2312"/>
                <w:b w:val="0"/>
                <w:bCs/>
                <w:sz w:val="22"/>
                <w:szCs w:val="21"/>
              </w:rPr>
              <w:t>2022</w:t>
            </w:r>
            <w:r>
              <w:rPr>
                <w:rFonts w:ascii="Times New Roman" w:hAnsi="仿宋_GB2312" w:eastAsia="仿宋_GB2312"/>
                <w:b w:val="0"/>
                <w:bCs/>
                <w:sz w:val="22"/>
                <w:szCs w:val="21"/>
              </w:rPr>
              <w:t>、</w:t>
            </w:r>
            <w:r>
              <w:rPr>
                <w:rFonts w:ascii="Times New Roman" w:hAnsi="Times New Roman" w:eastAsia="仿宋_GB2312"/>
                <w:b w:val="0"/>
                <w:bCs/>
                <w:sz w:val="22"/>
                <w:szCs w:val="21"/>
              </w:rPr>
              <w:t>2023</w:t>
            </w:r>
            <w:r>
              <w:rPr>
                <w:rFonts w:ascii="Times New Roman" w:hAnsi="仿宋_GB2312" w:eastAsia="仿宋_GB2312"/>
                <w:b w:val="0"/>
                <w:bCs/>
                <w:sz w:val="22"/>
                <w:szCs w:val="21"/>
              </w:rPr>
              <w:t>年度主要业务创新任务实际运行情况进行调研，总结相关成功经验，查找存在问题以及不足，进一步指导各项任务顺利开展。</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1"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2</w:t>
            </w:r>
          </w:p>
        </w:tc>
        <w:tc>
          <w:tcPr>
            <w:tcW w:w="2628" w:type="dxa"/>
            <w:noWrap/>
            <w:vAlign w:val="center"/>
          </w:tcPr>
          <w:p>
            <w:pPr>
              <w:jc w:val="center"/>
              <w:rPr>
                <w:rFonts w:ascii="Times New Roman" w:hAnsi="Times New Roman"/>
                <w:bCs/>
                <w:sz w:val="22"/>
                <w:szCs w:val="21"/>
              </w:rPr>
            </w:pPr>
            <w:r>
              <w:rPr>
                <w:rFonts w:ascii="Times New Roman" w:hAnsi="仿宋_GB2312"/>
                <w:bCs/>
                <w:sz w:val="22"/>
                <w:szCs w:val="21"/>
              </w:rPr>
              <w:t>如何提升突发信息共享应急联动和指挥调度能力水平</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充分发挥应急办的职能作用，建立与</w:t>
            </w:r>
            <w:r>
              <w:rPr>
                <w:rFonts w:ascii="Times New Roman" w:hAnsi="Times New Roman" w:eastAsia="仿宋_GB2312"/>
                <w:b w:val="0"/>
                <w:bCs/>
                <w:sz w:val="22"/>
                <w:szCs w:val="21"/>
              </w:rPr>
              <w:t>110</w:t>
            </w:r>
            <w:r>
              <w:rPr>
                <w:rFonts w:ascii="Times New Roman" w:hAnsi="仿宋_GB2312" w:eastAsia="仿宋_GB2312"/>
                <w:b w:val="0"/>
                <w:bCs/>
                <w:sz w:val="22"/>
                <w:szCs w:val="21"/>
              </w:rPr>
              <w:t>、</w:t>
            </w:r>
            <w:r>
              <w:rPr>
                <w:rFonts w:ascii="Times New Roman" w:hAnsi="Times New Roman" w:eastAsia="仿宋_GB2312"/>
                <w:b w:val="0"/>
                <w:bCs/>
                <w:sz w:val="22"/>
                <w:szCs w:val="21"/>
              </w:rPr>
              <w:t>119</w:t>
            </w:r>
            <w:r>
              <w:rPr>
                <w:rFonts w:ascii="Times New Roman" w:hAnsi="仿宋_GB2312" w:eastAsia="仿宋_GB2312"/>
                <w:b w:val="0"/>
                <w:bCs/>
                <w:sz w:val="22"/>
                <w:szCs w:val="21"/>
              </w:rPr>
              <w:t>、</w:t>
            </w:r>
            <w:r>
              <w:rPr>
                <w:rFonts w:ascii="Times New Roman" w:hAnsi="Times New Roman" w:eastAsia="仿宋_GB2312"/>
                <w:b w:val="0"/>
                <w:bCs/>
                <w:sz w:val="22"/>
                <w:szCs w:val="21"/>
              </w:rPr>
              <w:t>120</w:t>
            </w:r>
            <w:r>
              <w:rPr>
                <w:rFonts w:ascii="Times New Roman" w:hAnsi="仿宋_GB2312" w:eastAsia="仿宋_GB2312"/>
                <w:b w:val="0"/>
                <w:bCs/>
                <w:sz w:val="22"/>
                <w:szCs w:val="21"/>
              </w:rPr>
              <w:t>、</w:t>
            </w:r>
            <w:r>
              <w:rPr>
                <w:rFonts w:ascii="Times New Roman" w:hAnsi="Times New Roman" w:eastAsia="仿宋_GB2312"/>
                <w:b w:val="0"/>
                <w:bCs/>
                <w:sz w:val="22"/>
                <w:szCs w:val="21"/>
              </w:rPr>
              <w:t>122</w:t>
            </w:r>
            <w:r>
              <w:rPr>
                <w:rFonts w:ascii="Times New Roman" w:hAnsi="仿宋_GB2312" w:eastAsia="仿宋_GB2312"/>
                <w:b w:val="0"/>
                <w:bCs/>
                <w:sz w:val="22"/>
                <w:szCs w:val="21"/>
              </w:rPr>
              <w:t>和气象公共服务中心等核心部门的信息共享与应急联动制度，优化指挥中心主任会议模式，完善联席会议制度，确保各类突发事件信息畅通准确有效，切实提升应急系统信息报送能力。</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应急指挥中心</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3</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如何提升应急管理干部专业能力水平</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建立西安市应急管理师资库，编制应急管理干部培训大纲，分层次、分岗位开展多种形式的教育培训工作，提升应急管理干部专业化水平。</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组织人事处</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（教育培训处）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4</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聚焦双重预防机制建设，着力提升企业本质安全水平</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选取典型企业开展双重预防机制调研，围绕企业安全风险辩识评估和隐患排查治理工作落实，着重调研企业落实安全生产责任制，风险管控、隐患治理工作现状，研究总结经验做法和矛盾短板，针对城市风险管控总体要求，着力提升企业安全生产水平。</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风险监测和</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综合减灾处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5</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西安市市级应急救援队伍建设现状及形势分析</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进一步了解我市应急救援队伍从事应急救援活动所具备的能力，以及建设的需求和不足，以便及时采取纠正措施，持续改进应急救援队伍建设和管理工作，提高应急救援水平。</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救援协调和</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预案管理局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6</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西安市森林草原防灭火应急能力调研</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摸清全市森林草原防灭火工作现状，排查森林火险隐患，查找薄弱环节，制定针对性、可操作性强的防控措施，提高森林草原防灭火工作管理的科学性和规范性。</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防汛抗旱和</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火灾防治管理处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7</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韧性城市视角下城市应急避难场所体系建设的研究</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总结应急避难场所体系建设中的主要问题，研究韧性城市角度下的综合性应急避难场所体系建设，为打造安全韧性城市、提升抵御风险能力提供坚实保障。</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地震和地质灾害</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救援处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8</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充分发挥安委办统筹协调作用，加强对全市安全生产工作的组织领导</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用好督导检查、考核巡查、挂牌督办、约谈警示等有力手段，着力提升安委办统筹协调权威，理直气壮、从严从实抓好安全生产的各项工作，确保安全生产形势持续稳定。</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督查考核处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9</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建设工程工地高处坠事故研究</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通过调查分析我市近三年建设工程高处坠落事故，找到事故发生原因，研究解决方案，提出降低此类事故的对策措施，达到有效降低我市建设施工领域此类事故目的。</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安全生产</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综合监管处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10</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对工贸企业、工业园区企业主要负责人落实安全生产职责的调查和思考</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通过调研，总结经验、查找不足，指出工贸企业主要负责人在落实七项安全生产职责中存在的主要问题，分析问题产生的原因并提出下一步对策建议，为进一步夯实工贸企业主要负责人安全生产职责提供有益借鉴。</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安全生产基础处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11</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西安市危险化学品企业本质安全现状及对策</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结合我市危险化学品生产经营企业安全现状，深入研究分析制约企业安全发展的问题和瓶颈，找准对策，切实解决影响企业本质安全的突出问题。</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危险化学品安全监督管理处（行政审批处）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12</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西安市应急物资储备现状及对策建议</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完善应急物资采购、储备、调用等相关机制，应急物资储备品种更加科学、储备规模更趋合理、储备布局更加优化，应急物资保障能力得到提升。</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救灾保障和</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规划财务处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13</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西安市应急管理行政执法案卷质量分析及提升</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解决行政处罚案卷不规范等问题。</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政策法规处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14</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道路运输责任事故特征及其对策建议</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调研了解我市道路运输责任事故情况和全国具有典型特点的道路运输责任事故情况，对事故数据进行统计分析，得出事故发生的规律和特点</w:t>
            </w:r>
            <w:r>
              <w:rPr>
                <w:rFonts w:ascii="Times New Roman" w:hAnsi="Times New Roman" w:eastAsia="仿宋_GB2312"/>
                <w:b w:val="0"/>
                <w:bCs/>
                <w:sz w:val="22"/>
                <w:szCs w:val="21"/>
              </w:rPr>
              <w:t>,</w:t>
            </w:r>
            <w:r>
              <w:rPr>
                <w:rFonts w:ascii="Times New Roman" w:hAnsi="仿宋_GB2312" w:eastAsia="仿宋_GB2312"/>
                <w:b w:val="0"/>
                <w:bCs/>
                <w:sz w:val="22"/>
                <w:szCs w:val="21"/>
              </w:rPr>
              <w:t>通过分析事故发生的原因，找出道路运输安全管理的薄弱环节</w:t>
            </w:r>
            <w:r>
              <w:rPr>
                <w:rFonts w:ascii="Times New Roman" w:hAnsi="Times New Roman" w:eastAsia="仿宋_GB2312"/>
                <w:b w:val="0"/>
                <w:bCs/>
                <w:sz w:val="22"/>
                <w:szCs w:val="21"/>
              </w:rPr>
              <w:t>,</w:t>
            </w:r>
            <w:r>
              <w:rPr>
                <w:rFonts w:ascii="Times New Roman" w:hAnsi="仿宋_GB2312" w:eastAsia="仿宋_GB2312"/>
                <w:b w:val="0"/>
                <w:bCs/>
                <w:sz w:val="22"/>
                <w:szCs w:val="21"/>
              </w:rPr>
              <w:t>并提出针对性的改进措施，进一步降低全市安全生产事故起数和死亡人数。</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调查评估和统计处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15</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新形势下如何通过安全宣传</w:t>
            </w:r>
            <w:r>
              <w:rPr>
                <w:rFonts w:ascii="Times New Roman" w:hAnsi="Times New Roman" w:eastAsia="仿宋_GB2312"/>
                <w:b w:val="0"/>
                <w:bCs/>
                <w:sz w:val="22"/>
                <w:szCs w:val="21"/>
              </w:rPr>
              <w:t>“</w:t>
            </w:r>
            <w:r>
              <w:rPr>
                <w:rFonts w:ascii="Times New Roman" w:hAnsi="仿宋_GB2312" w:eastAsia="仿宋_GB2312"/>
                <w:b w:val="0"/>
                <w:bCs/>
                <w:sz w:val="22"/>
                <w:szCs w:val="21"/>
              </w:rPr>
              <w:t>五进</w:t>
            </w:r>
            <w:r>
              <w:rPr>
                <w:rFonts w:ascii="Times New Roman" w:hAnsi="Times New Roman" w:eastAsia="仿宋_GB2312"/>
                <w:b w:val="0"/>
                <w:bCs/>
                <w:sz w:val="22"/>
                <w:szCs w:val="21"/>
              </w:rPr>
              <w:t>”</w:t>
            </w:r>
            <w:r>
              <w:rPr>
                <w:rFonts w:ascii="Times New Roman" w:hAnsi="仿宋_GB2312" w:eastAsia="仿宋_GB2312"/>
                <w:b w:val="0"/>
                <w:bCs/>
                <w:sz w:val="22"/>
                <w:szCs w:val="21"/>
              </w:rPr>
              <w:t>活动提升群众安全防范意识</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进一步了解我市群众安全知识、能力的短板和盲区，不断丰富、拓展安全宣传</w:t>
            </w:r>
            <w:r>
              <w:rPr>
                <w:rFonts w:ascii="Times New Roman" w:hAnsi="Times New Roman" w:eastAsia="仿宋_GB2312"/>
                <w:b w:val="0"/>
                <w:bCs/>
                <w:sz w:val="22"/>
                <w:szCs w:val="21"/>
              </w:rPr>
              <w:t>“</w:t>
            </w:r>
            <w:r>
              <w:rPr>
                <w:rFonts w:ascii="Times New Roman" w:hAnsi="仿宋_GB2312" w:eastAsia="仿宋_GB2312"/>
                <w:b w:val="0"/>
                <w:bCs/>
                <w:sz w:val="22"/>
                <w:szCs w:val="21"/>
              </w:rPr>
              <w:t>五进</w:t>
            </w:r>
            <w:r>
              <w:rPr>
                <w:rFonts w:ascii="Times New Roman" w:hAnsi="Times New Roman" w:eastAsia="仿宋_GB2312"/>
                <w:b w:val="0"/>
                <w:bCs/>
                <w:sz w:val="22"/>
                <w:szCs w:val="21"/>
              </w:rPr>
              <w:t>”</w:t>
            </w:r>
            <w:r>
              <w:rPr>
                <w:rFonts w:ascii="Times New Roman" w:hAnsi="仿宋_GB2312" w:eastAsia="仿宋_GB2312"/>
                <w:b w:val="0"/>
                <w:bCs/>
                <w:sz w:val="22"/>
                <w:szCs w:val="21"/>
              </w:rPr>
              <w:t>活动内容形式，探索安全宣传机制、队伍、资源融合推进的新途径新办法，让应急管理宣传更加贴近群众，不断提升我市群众的安全防范意识，为我市安全发展夯实群众基础。</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新闻宣传处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16</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加强城市运行安全体检，进一步强化监测预警</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能力</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从城市运行安全体检覆盖的范围、主要研究方向、城市运行安全综合指标评价体系等方面开展调研，构建符合西安特色的全域、全要素覆盖、指标量化可测的城市运行安全体检指标体系，全面开展我市城市运行安全体检工作。</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科技和信息化处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17</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坚持围绕中心、建设队伍、服务群众破解机关党建与业务工作</w:t>
            </w:r>
            <w:r>
              <w:rPr>
                <w:rFonts w:ascii="Times New Roman" w:hAnsi="Times New Roman" w:eastAsia="仿宋_GB2312"/>
                <w:b w:val="0"/>
                <w:bCs/>
                <w:sz w:val="22"/>
                <w:szCs w:val="21"/>
              </w:rPr>
              <w:t>“</w:t>
            </w:r>
            <w:r>
              <w:rPr>
                <w:rFonts w:ascii="Times New Roman" w:hAnsi="仿宋_GB2312" w:eastAsia="仿宋_GB2312"/>
                <w:b w:val="0"/>
                <w:bCs/>
                <w:sz w:val="22"/>
                <w:szCs w:val="21"/>
              </w:rPr>
              <w:t>两张皮</w:t>
            </w:r>
            <w:r>
              <w:rPr>
                <w:rFonts w:ascii="Times New Roman" w:hAnsi="Times New Roman" w:eastAsia="仿宋_GB2312"/>
                <w:b w:val="0"/>
                <w:bCs/>
                <w:sz w:val="22"/>
                <w:szCs w:val="21"/>
              </w:rPr>
              <w:t>”</w:t>
            </w:r>
            <w:r>
              <w:rPr>
                <w:rFonts w:ascii="Times New Roman" w:hAnsi="仿宋_GB2312" w:eastAsia="仿宋_GB2312"/>
                <w:b w:val="0"/>
                <w:bCs/>
                <w:sz w:val="22"/>
                <w:szCs w:val="21"/>
              </w:rPr>
              <w:t>问题</w:t>
            </w:r>
          </w:p>
        </w:tc>
        <w:tc>
          <w:tcPr>
            <w:tcW w:w="8501" w:type="dxa"/>
            <w:noWrap/>
            <w:vAlign w:val="center"/>
          </w:tcPr>
          <w:p>
            <w:pPr>
              <w:rPr>
                <w:rFonts w:ascii="Times New Roman" w:hAnsi="Times New Roman"/>
                <w:bCs/>
                <w:sz w:val="22"/>
                <w:szCs w:val="21"/>
              </w:rPr>
            </w:pPr>
            <w:r>
              <w:rPr>
                <w:rFonts w:ascii="Times New Roman" w:hAnsi="仿宋_GB2312"/>
                <w:bCs/>
                <w:sz w:val="22"/>
                <w:szCs w:val="21"/>
              </w:rPr>
              <w:t>通过个别访谈和走访各党支部等方式，分析党建与业务工作存在</w:t>
            </w:r>
            <w:r>
              <w:rPr>
                <w:rFonts w:ascii="Times New Roman" w:hAnsi="Times New Roman"/>
                <w:bCs/>
                <w:sz w:val="22"/>
                <w:szCs w:val="21"/>
              </w:rPr>
              <w:t>“</w:t>
            </w:r>
            <w:r>
              <w:rPr>
                <w:rFonts w:ascii="Times New Roman" w:hAnsi="仿宋_GB2312"/>
                <w:bCs/>
                <w:sz w:val="22"/>
                <w:szCs w:val="21"/>
              </w:rPr>
              <w:t>两张皮</w:t>
            </w:r>
            <w:r>
              <w:rPr>
                <w:rFonts w:ascii="Times New Roman" w:hAnsi="Times New Roman"/>
                <w:bCs/>
                <w:sz w:val="22"/>
                <w:szCs w:val="21"/>
              </w:rPr>
              <w:t>”</w:t>
            </w:r>
            <w:r>
              <w:rPr>
                <w:rFonts w:ascii="Times New Roman" w:hAnsi="仿宋_GB2312"/>
                <w:bCs/>
                <w:sz w:val="22"/>
                <w:szCs w:val="21"/>
              </w:rPr>
              <w:t>的问题及原因，探索解决方案，推动机关党建和业务工作深度融合。</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机关党委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18</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安全生产</w:t>
            </w:r>
            <w:r>
              <w:rPr>
                <w:rFonts w:ascii="Times New Roman" w:hAnsi="Times New Roman" w:eastAsia="仿宋_GB2312"/>
                <w:b w:val="0"/>
                <w:bCs/>
                <w:sz w:val="22"/>
                <w:szCs w:val="21"/>
              </w:rPr>
              <w:t>“</w:t>
            </w:r>
            <w:r>
              <w:rPr>
                <w:rFonts w:ascii="Times New Roman" w:hAnsi="仿宋_GB2312" w:eastAsia="仿宋_GB2312"/>
                <w:b w:val="0"/>
                <w:bCs/>
                <w:sz w:val="22"/>
                <w:szCs w:val="21"/>
              </w:rPr>
              <w:t>执法</w:t>
            </w:r>
            <w:r>
              <w:rPr>
                <w:rFonts w:ascii="Times New Roman" w:hAnsi="Times New Roman" w:eastAsia="仿宋_GB2312"/>
                <w:b w:val="0"/>
                <w:bCs/>
                <w:sz w:val="22"/>
                <w:szCs w:val="21"/>
              </w:rPr>
              <w:t>+</w:t>
            </w:r>
            <w:r>
              <w:rPr>
                <w:rFonts w:ascii="Times New Roman" w:hAnsi="仿宋_GB2312" w:eastAsia="仿宋_GB2312"/>
                <w:b w:val="0"/>
                <w:bCs/>
                <w:sz w:val="22"/>
                <w:szCs w:val="21"/>
              </w:rPr>
              <w:t>服务</w:t>
            </w:r>
            <w:r>
              <w:rPr>
                <w:rFonts w:ascii="Times New Roman" w:hAnsi="Times New Roman" w:eastAsia="仿宋_GB2312"/>
                <w:b w:val="0"/>
                <w:bCs/>
                <w:sz w:val="22"/>
                <w:szCs w:val="21"/>
              </w:rPr>
              <w:t>”</w:t>
            </w:r>
            <w:r>
              <w:rPr>
                <w:rFonts w:ascii="Times New Roman" w:hAnsi="仿宋_GB2312" w:eastAsia="仿宋_GB2312"/>
                <w:b w:val="0"/>
                <w:bCs/>
                <w:sz w:val="22"/>
                <w:szCs w:val="21"/>
              </w:rPr>
              <w:t>工作模式探讨</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着力解决对企业安全生产执法服务不到位的问题，以及执法服务对象不精准、事项不精准、结果不精准的问题。</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应急管理</w:t>
            </w:r>
          </w:p>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综合执法支队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19</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创新考核方式，做到严督实考</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通过严考核确保</w:t>
            </w:r>
            <w:r>
              <w:rPr>
                <w:rFonts w:ascii="Times New Roman" w:hAnsi="Times New Roman" w:eastAsia="仿宋_GB2312"/>
                <w:b w:val="0"/>
                <w:bCs/>
                <w:sz w:val="22"/>
                <w:szCs w:val="21"/>
              </w:rPr>
              <w:t>“</w:t>
            </w:r>
            <w:r>
              <w:rPr>
                <w:rFonts w:ascii="Times New Roman" w:hAnsi="仿宋_GB2312" w:eastAsia="仿宋_GB2312"/>
                <w:b w:val="0"/>
                <w:bCs/>
                <w:sz w:val="22"/>
                <w:szCs w:val="21"/>
              </w:rPr>
              <w:t>三项岗位人员</w:t>
            </w:r>
            <w:r>
              <w:rPr>
                <w:rFonts w:ascii="Times New Roman" w:hAnsi="Times New Roman" w:eastAsia="仿宋_GB2312"/>
                <w:b w:val="0"/>
                <w:bCs/>
                <w:sz w:val="22"/>
                <w:szCs w:val="21"/>
              </w:rPr>
              <w:t>”</w:t>
            </w:r>
            <w:r>
              <w:rPr>
                <w:rFonts w:ascii="Times New Roman" w:hAnsi="仿宋_GB2312" w:eastAsia="仿宋_GB2312"/>
                <w:b w:val="0"/>
                <w:bCs/>
                <w:sz w:val="22"/>
                <w:szCs w:val="21"/>
              </w:rPr>
              <w:t>考核质量，也力促培育不</w:t>
            </w:r>
            <w:r>
              <w:rPr>
                <w:rFonts w:ascii="Times New Roman" w:hAnsi="Times New Roman" w:eastAsia="仿宋_GB2312"/>
                <w:b w:val="0"/>
                <w:bCs/>
                <w:sz w:val="22"/>
                <w:szCs w:val="21"/>
              </w:rPr>
              <w:t>“</w:t>
            </w:r>
            <w:r>
              <w:rPr>
                <w:rFonts w:ascii="Times New Roman" w:hAnsi="仿宋_GB2312" w:eastAsia="仿宋_GB2312"/>
                <w:b w:val="0"/>
                <w:bCs/>
                <w:sz w:val="22"/>
                <w:szCs w:val="21"/>
              </w:rPr>
              <w:t>走过场</w:t>
            </w:r>
            <w:r>
              <w:rPr>
                <w:rFonts w:ascii="Times New Roman" w:hAnsi="Times New Roman" w:eastAsia="仿宋_GB2312"/>
                <w:b w:val="0"/>
                <w:bCs/>
                <w:sz w:val="22"/>
                <w:szCs w:val="21"/>
              </w:rPr>
              <w:t>”</w:t>
            </w:r>
            <w:r>
              <w:rPr>
                <w:rFonts w:ascii="Times New Roman" w:hAnsi="仿宋_GB2312" w:eastAsia="仿宋_GB2312"/>
                <w:b w:val="0"/>
                <w:bCs/>
                <w:sz w:val="22"/>
                <w:szCs w:val="21"/>
              </w:rPr>
              <w:t>。</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安全生产宣传教育中心（城市安全与应急管理研究院）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1501"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20</w:t>
            </w:r>
          </w:p>
        </w:tc>
        <w:tc>
          <w:tcPr>
            <w:tcW w:w="2628"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应急科普体验场馆现状与分析</w:t>
            </w:r>
          </w:p>
        </w:tc>
        <w:tc>
          <w:tcPr>
            <w:tcW w:w="8501" w:type="dxa"/>
            <w:noWrap/>
            <w:vAlign w:val="center"/>
          </w:tcPr>
          <w:p>
            <w:pPr>
              <w:pStyle w:val="3"/>
              <w:spacing w:line="380" w:lineRule="exact"/>
              <w:ind w:firstLine="0"/>
              <w:jc w:val="left"/>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综合减灾科普馆是一座以西安地理地域特性为基础、以地球空间全视觉为主题，全方位面向公众科普各类地域灾害、宣传各类避灾自救知识、提高公众社会安全知识为目的的科学技术展馆。将通过调研国内相关场馆的现状，分析其运营模式及情况，探索更适合我单位场馆的运营管理方式，使之成为防灾减灾公众知识相关资料的搜集、整理及科普的重要平台。</w:t>
            </w:r>
          </w:p>
        </w:tc>
        <w:tc>
          <w:tcPr>
            <w:tcW w:w="2156" w:type="dxa"/>
            <w:noWrap/>
            <w:vAlign w:val="center"/>
          </w:tcPr>
          <w:p>
            <w:pPr>
              <w:pStyle w:val="3"/>
              <w:spacing w:line="38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综合减灾科普馆</w:t>
            </w:r>
          </w:p>
        </w:tc>
      </w:tr>
    </w:tbl>
    <w:p>
      <w:pPr>
        <w:pStyle w:val="3"/>
        <w:spacing w:line="576" w:lineRule="exact"/>
        <w:ind w:firstLine="0"/>
        <w:jc w:val="left"/>
        <w:rPr>
          <w:rFonts w:ascii="Times New Roman" w:hAnsi="Times New Roman"/>
          <w:b w:val="0"/>
          <w:bCs/>
          <w:sz w:val="32"/>
          <w:szCs w:val="28"/>
        </w:rPr>
      </w:pPr>
    </w:p>
    <w:p>
      <w:pPr>
        <w:widowControl/>
        <w:jc w:val="left"/>
        <w:rPr>
          <w:rFonts w:ascii="Times New Roman" w:hAnsi="Times New Roman" w:eastAsia="黑体"/>
          <w:bCs/>
          <w:szCs w:val="28"/>
        </w:rPr>
      </w:pPr>
      <w:r>
        <w:rPr>
          <w:rFonts w:ascii="Times New Roman" w:hAnsi="Times New Roman"/>
          <w:b/>
          <w:bCs/>
          <w:szCs w:val="28"/>
        </w:rPr>
        <w:br w:type="page"/>
      </w:r>
    </w:p>
    <w:p>
      <w:pPr>
        <w:pStyle w:val="3"/>
        <w:spacing w:line="576" w:lineRule="exact"/>
        <w:ind w:firstLine="0"/>
        <w:jc w:val="left"/>
        <w:rPr>
          <w:rFonts w:ascii="Times New Roman" w:hAnsi="Times New Roman"/>
          <w:b w:val="0"/>
          <w:bCs/>
          <w:sz w:val="32"/>
          <w:szCs w:val="28"/>
        </w:rPr>
        <w:sectPr>
          <w:pgSz w:w="16838" w:h="11906" w:orient="landscape"/>
          <w:pgMar w:top="1531" w:right="1134" w:bottom="1531" w:left="1134" w:header="851" w:footer="992" w:gutter="0"/>
          <w:cols w:space="720" w:num="1"/>
          <w:docGrid w:type="lines" w:linePitch="442" w:charSpace="0"/>
        </w:sectPr>
      </w:pPr>
    </w:p>
    <w:p>
      <w:pPr>
        <w:pStyle w:val="3"/>
        <w:spacing w:line="576" w:lineRule="exact"/>
        <w:ind w:firstLine="0"/>
        <w:jc w:val="left"/>
        <w:rPr>
          <w:rFonts w:ascii="Times New Roman" w:hAnsi="Times New Roman"/>
          <w:b w:val="0"/>
          <w:bCs/>
          <w:sz w:val="32"/>
          <w:szCs w:val="28"/>
        </w:rPr>
      </w:pPr>
      <w:r>
        <w:rPr>
          <w:rFonts w:ascii="Times New Roman" w:hAnsi="黑体"/>
          <w:b w:val="0"/>
          <w:bCs/>
          <w:sz w:val="32"/>
          <w:szCs w:val="28"/>
        </w:rPr>
        <w:t>附件</w:t>
      </w:r>
      <w:r>
        <w:rPr>
          <w:rFonts w:ascii="Times New Roman" w:hAnsi="Times New Roman"/>
          <w:b w:val="0"/>
          <w:bCs/>
          <w:sz w:val="32"/>
          <w:szCs w:val="28"/>
        </w:rPr>
        <w:t>3</w:t>
      </w:r>
      <w:bookmarkStart w:id="0" w:name="_GoBack"/>
      <w:bookmarkEnd w:id="0"/>
    </w:p>
    <w:p>
      <w:pPr>
        <w:pStyle w:val="3"/>
        <w:spacing w:line="576" w:lineRule="exact"/>
        <w:rPr>
          <w:rFonts w:ascii="Times New Roman" w:hAnsi="Times New Roman" w:eastAsia="方正小标宋简体"/>
          <w:b w:val="0"/>
          <w:bCs/>
          <w:sz w:val="36"/>
          <w:szCs w:val="36"/>
        </w:rPr>
      </w:pPr>
      <w:r>
        <w:rPr>
          <w:rFonts w:ascii="Times New Roman" w:hAnsi="方正小标宋简体" w:eastAsia="方正小标宋简体"/>
          <w:b w:val="0"/>
          <w:bCs/>
          <w:sz w:val="36"/>
          <w:szCs w:val="36"/>
        </w:rPr>
        <w:t>调研课题推动及成果转化清单</w:t>
      </w:r>
    </w:p>
    <w:tbl>
      <w:tblPr>
        <w:tblStyle w:val="7"/>
        <w:tblpPr w:leftFromText="180" w:rightFromText="180" w:vertAnchor="text" w:horzAnchor="page" w:tblpX="1665" w:tblpY="6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557"/>
        <w:gridCol w:w="1439"/>
        <w:gridCol w:w="1296"/>
        <w:gridCol w:w="2691"/>
        <w:gridCol w:w="1881"/>
        <w:gridCol w:w="1546"/>
        <w:gridCol w:w="102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89"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调研课题</w:t>
            </w:r>
          </w:p>
        </w:tc>
        <w:tc>
          <w:tcPr>
            <w:tcW w:w="1557"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调研目的</w:t>
            </w:r>
          </w:p>
        </w:tc>
        <w:tc>
          <w:tcPr>
            <w:tcW w:w="1439"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调研对象及</w:t>
            </w:r>
          </w:p>
          <w:p>
            <w:pPr>
              <w:pStyle w:val="3"/>
              <w:spacing w:line="300" w:lineRule="exact"/>
              <w:ind w:firstLine="0"/>
              <w:outlineLvl w:val="3"/>
              <w:rPr>
                <w:rFonts w:ascii="Times New Roman" w:hAnsi="Times New Roman"/>
                <w:b w:val="0"/>
                <w:bCs/>
                <w:sz w:val="22"/>
                <w:szCs w:val="21"/>
              </w:rPr>
            </w:pPr>
            <w:r>
              <w:rPr>
                <w:rFonts w:ascii="Times New Roman"/>
                <w:b w:val="0"/>
                <w:bCs/>
                <w:sz w:val="22"/>
                <w:szCs w:val="21"/>
              </w:rPr>
              <w:t>地点</w:t>
            </w:r>
          </w:p>
        </w:tc>
        <w:tc>
          <w:tcPr>
            <w:tcW w:w="1296"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调研方法</w:t>
            </w:r>
          </w:p>
        </w:tc>
        <w:tc>
          <w:tcPr>
            <w:tcW w:w="2691"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调研中发现的</w:t>
            </w:r>
          </w:p>
          <w:p>
            <w:pPr>
              <w:pStyle w:val="3"/>
              <w:spacing w:line="300" w:lineRule="exact"/>
              <w:ind w:firstLine="0"/>
              <w:outlineLvl w:val="3"/>
              <w:rPr>
                <w:rFonts w:ascii="Times New Roman" w:hAnsi="Times New Roman"/>
                <w:b w:val="0"/>
                <w:bCs/>
                <w:sz w:val="22"/>
                <w:szCs w:val="21"/>
              </w:rPr>
            </w:pPr>
            <w:r>
              <w:rPr>
                <w:rFonts w:ascii="Times New Roman"/>
                <w:b w:val="0"/>
                <w:bCs/>
                <w:sz w:val="22"/>
                <w:szCs w:val="21"/>
              </w:rPr>
              <w:t>问题</w:t>
            </w:r>
          </w:p>
        </w:tc>
        <w:tc>
          <w:tcPr>
            <w:tcW w:w="1881"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解决措施</w:t>
            </w:r>
          </w:p>
        </w:tc>
        <w:tc>
          <w:tcPr>
            <w:tcW w:w="1546"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调研动作</w:t>
            </w:r>
          </w:p>
        </w:tc>
        <w:tc>
          <w:tcPr>
            <w:tcW w:w="1020"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调研</w:t>
            </w:r>
          </w:p>
          <w:p>
            <w:pPr>
              <w:pStyle w:val="3"/>
              <w:spacing w:line="300" w:lineRule="exact"/>
              <w:ind w:firstLine="0"/>
              <w:outlineLvl w:val="3"/>
              <w:rPr>
                <w:rFonts w:ascii="Times New Roman" w:hAnsi="Times New Roman"/>
                <w:b w:val="0"/>
                <w:bCs/>
                <w:sz w:val="22"/>
                <w:szCs w:val="21"/>
              </w:rPr>
            </w:pPr>
            <w:r>
              <w:rPr>
                <w:rFonts w:ascii="Times New Roman"/>
                <w:b w:val="0"/>
                <w:bCs/>
                <w:sz w:val="22"/>
                <w:szCs w:val="21"/>
              </w:rPr>
              <w:t>成果</w:t>
            </w:r>
          </w:p>
        </w:tc>
        <w:tc>
          <w:tcPr>
            <w:tcW w:w="1170" w:type="dxa"/>
            <w:noWrap/>
            <w:vAlign w:val="center"/>
          </w:tcPr>
          <w:p>
            <w:pPr>
              <w:pStyle w:val="3"/>
              <w:spacing w:line="300" w:lineRule="exact"/>
              <w:ind w:firstLine="0"/>
              <w:outlineLvl w:val="3"/>
              <w:rPr>
                <w:rFonts w:ascii="Times New Roman" w:hAnsi="Times New Roman"/>
                <w:b w:val="0"/>
                <w:bCs/>
                <w:sz w:val="22"/>
                <w:szCs w:val="21"/>
              </w:rPr>
            </w:pPr>
            <w:r>
              <w:rPr>
                <w:rFonts w:ascii="Times New Roman"/>
                <w:b w:val="0"/>
                <w:bCs/>
                <w:sz w:val="22"/>
                <w:szCs w:val="21"/>
              </w:rPr>
              <w:t>计划完成</w:t>
            </w:r>
          </w:p>
          <w:p>
            <w:pPr>
              <w:pStyle w:val="3"/>
              <w:spacing w:line="300" w:lineRule="exact"/>
              <w:ind w:firstLine="0"/>
              <w:outlineLvl w:val="3"/>
              <w:rPr>
                <w:rFonts w:ascii="Times New Roman" w:hAnsi="Times New Roman"/>
                <w:b w:val="0"/>
                <w:bCs/>
                <w:sz w:val="22"/>
                <w:szCs w:val="21"/>
              </w:rPr>
            </w:pPr>
            <w:r>
              <w:rPr>
                <w:rFonts w:ascii="Times New Roman"/>
                <w:b w:val="0"/>
                <w:bCs/>
                <w:sz w:val="22"/>
                <w:szCs w:val="21"/>
              </w:rPr>
              <w:t>时限及责任人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trPr>
        <w:tc>
          <w:tcPr>
            <w:tcW w:w="1289" w:type="dxa"/>
            <w:noWrap/>
            <w:vAlign w:val="center"/>
          </w:tcPr>
          <w:p>
            <w:pPr>
              <w:pStyle w:val="3"/>
              <w:spacing w:line="32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西安市应急物资储备现状及对策建议（示例）</w:t>
            </w:r>
          </w:p>
        </w:tc>
        <w:tc>
          <w:tcPr>
            <w:tcW w:w="1557" w:type="dxa"/>
            <w:noWrap/>
            <w:vAlign w:val="center"/>
          </w:tcPr>
          <w:p>
            <w:pPr>
              <w:pStyle w:val="3"/>
              <w:spacing w:line="32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统筹个行业部门应急物资储备，健全应急物资保障体系，提高应急物资保障能力</w:t>
            </w:r>
          </w:p>
        </w:tc>
        <w:tc>
          <w:tcPr>
            <w:tcW w:w="1439" w:type="dxa"/>
            <w:noWrap/>
            <w:vAlign w:val="center"/>
          </w:tcPr>
          <w:p>
            <w:pPr>
              <w:pStyle w:val="3"/>
              <w:spacing w:line="32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相关行业部门、各区县（开发区）应急管理局、物资储备仓库</w:t>
            </w:r>
          </w:p>
        </w:tc>
        <w:tc>
          <w:tcPr>
            <w:tcW w:w="1296" w:type="dxa"/>
            <w:noWrap/>
            <w:vAlign w:val="center"/>
          </w:tcPr>
          <w:p>
            <w:pPr>
              <w:pStyle w:val="3"/>
              <w:spacing w:line="32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集中座谈个别谈话问卷调查</w:t>
            </w:r>
          </w:p>
          <w:p>
            <w:pPr>
              <w:pStyle w:val="3"/>
              <w:spacing w:line="320" w:lineRule="exact"/>
              <w:ind w:firstLine="0"/>
              <w:outlineLvl w:val="3"/>
              <w:rPr>
                <w:rFonts w:ascii="Times New Roman" w:hAnsi="Times New Roman"/>
              </w:rPr>
            </w:pPr>
            <w:r>
              <w:rPr>
                <w:rFonts w:ascii="Times New Roman" w:hAnsi="仿宋_GB2312" w:eastAsia="仿宋_GB2312"/>
                <w:b w:val="0"/>
                <w:bCs/>
                <w:sz w:val="22"/>
                <w:szCs w:val="21"/>
              </w:rPr>
              <w:t>现地查看</w:t>
            </w:r>
          </w:p>
        </w:tc>
        <w:tc>
          <w:tcPr>
            <w:tcW w:w="2691" w:type="dxa"/>
            <w:noWrap/>
            <w:vAlign w:val="center"/>
          </w:tcPr>
          <w:p>
            <w:pPr>
              <w:pStyle w:val="3"/>
              <w:spacing w:line="320" w:lineRule="exact"/>
              <w:ind w:firstLine="0"/>
              <w:outlineLvl w:val="3"/>
              <w:rPr>
                <w:rFonts w:ascii="Times New Roman" w:hAnsi="Times New Roman" w:eastAsia="仿宋_GB2312"/>
                <w:b w:val="0"/>
                <w:bCs/>
                <w:sz w:val="22"/>
                <w:szCs w:val="21"/>
              </w:rPr>
            </w:pPr>
            <w:r>
              <w:rPr>
                <w:rFonts w:ascii="Times New Roman" w:hAnsi="仿宋_GB2312" w:eastAsia="仿宋_GB2312"/>
                <w:b w:val="0"/>
                <w:bCs/>
                <w:sz w:val="22"/>
                <w:szCs w:val="21"/>
              </w:rPr>
              <w:t>行业部门应急物资储备工作职责尚需健全；应急物资协调运输联动机制不够完善；缺乏库存应急物资定期轮换机制</w:t>
            </w:r>
          </w:p>
        </w:tc>
        <w:tc>
          <w:tcPr>
            <w:tcW w:w="1881" w:type="dxa"/>
            <w:noWrap/>
            <w:vAlign w:val="center"/>
          </w:tcPr>
          <w:p>
            <w:pPr>
              <w:pStyle w:val="3"/>
              <w:spacing w:line="320" w:lineRule="exact"/>
              <w:ind w:firstLine="0"/>
              <w:outlineLvl w:val="3"/>
              <w:rPr>
                <w:rFonts w:ascii="Times New Roman" w:hAnsi="Times New Roman" w:eastAsia="仿宋_GB2312"/>
                <w:b w:val="0"/>
                <w:bCs/>
                <w:sz w:val="22"/>
                <w:szCs w:val="21"/>
              </w:rPr>
            </w:pPr>
          </w:p>
        </w:tc>
        <w:tc>
          <w:tcPr>
            <w:tcW w:w="1546" w:type="dxa"/>
            <w:noWrap/>
            <w:vAlign w:val="center"/>
          </w:tcPr>
          <w:p>
            <w:pPr>
              <w:pStyle w:val="3"/>
              <w:spacing w:line="32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4</w:t>
            </w:r>
            <w:r>
              <w:rPr>
                <w:rFonts w:ascii="Times New Roman" w:hAnsi="仿宋_GB2312" w:eastAsia="仿宋_GB2312"/>
                <w:b w:val="0"/>
                <w:bCs/>
                <w:sz w:val="22"/>
                <w:szCs w:val="21"/>
              </w:rPr>
              <w:t>月</w:t>
            </w:r>
            <w:r>
              <w:rPr>
                <w:rFonts w:ascii="Times New Roman" w:hAnsi="Times New Roman" w:eastAsia="仿宋_GB2312"/>
                <w:b w:val="0"/>
                <w:bCs/>
                <w:sz w:val="22"/>
                <w:szCs w:val="21"/>
              </w:rPr>
              <w:t>12</w:t>
            </w:r>
            <w:r>
              <w:rPr>
                <w:rFonts w:ascii="Times New Roman" w:hAnsi="仿宋_GB2312" w:eastAsia="仿宋_GB2312"/>
                <w:b w:val="0"/>
                <w:bCs/>
                <w:sz w:val="22"/>
                <w:szCs w:val="21"/>
              </w:rPr>
              <w:t>日前往西咸新区应急管理局就救援物资储备情况进行现地调研并做问卷调查</w:t>
            </w:r>
          </w:p>
        </w:tc>
        <w:tc>
          <w:tcPr>
            <w:tcW w:w="1020" w:type="dxa"/>
            <w:noWrap/>
            <w:vAlign w:val="center"/>
          </w:tcPr>
          <w:p>
            <w:pPr>
              <w:pStyle w:val="3"/>
              <w:spacing w:line="320" w:lineRule="exact"/>
              <w:ind w:firstLine="0"/>
              <w:outlineLvl w:val="3"/>
              <w:rPr>
                <w:rFonts w:ascii="Times New Roman" w:hAnsi="Times New Roman" w:eastAsia="仿宋_GB2312"/>
                <w:b w:val="0"/>
                <w:bCs/>
                <w:sz w:val="22"/>
                <w:szCs w:val="21"/>
              </w:rPr>
            </w:pPr>
          </w:p>
        </w:tc>
        <w:tc>
          <w:tcPr>
            <w:tcW w:w="1170" w:type="dxa"/>
            <w:noWrap/>
            <w:vAlign w:val="center"/>
          </w:tcPr>
          <w:p>
            <w:pPr>
              <w:pStyle w:val="3"/>
              <w:spacing w:line="32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12</w:t>
            </w:r>
            <w:r>
              <w:rPr>
                <w:rFonts w:ascii="Times New Roman" w:hAnsi="仿宋_GB2312" w:eastAsia="仿宋_GB2312"/>
                <w:b w:val="0"/>
                <w:bCs/>
                <w:sz w:val="22"/>
                <w:szCs w:val="21"/>
              </w:rPr>
              <w:t>月底</w:t>
            </w:r>
          </w:p>
          <w:p>
            <w:pPr>
              <w:pStyle w:val="3"/>
              <w:spacing w:line="320" w:lineRule="exact"/>
              <w:ind w:firstLine="0"/>
              <w:outlineLvl w:val="3"/>
              <w:rPr>
                <w:rFonts w:ascii="Times New Roman" w:hAnsi="Times New Roman" w:eastAsia="仿宋_GB2312"/>
                <w:b w:val="0"/>
                <w:bCs/>
                <w:sz w:val="22"/>
                <w:szCs w:val="21"/>
              </w:rPr>
            </w:pPr>
            <w:r>
              <w:rPr>
                <w:rFonts w:ascii="Times New Roman" w:hAnsi="Times New Roman" w:eastAsia="仿宋_GB2312"/>
                <w:b w:val="0"/>
                <w:bCs/>
                <w:sz w:val="22"/>
                <w:szCs w:val="21"/>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89" w:type="dxa"/>
            <w:noWrap/>
            <w:vAlign w:val="center"/>
          </w:tcPr>
          <w:p>
            <w:pPr>
              <w:pStyle w:val="3"/>
              <w:ind w:firstLine="0"/>
              <w:outlineLvl w:val="3"/>
              <w:rPr>
                <w:rFonts w:ascii="Times New Roman" w:hAnsi="Times New Roman"/>
                <w:b w:val="0"/>
                <w:bCs/>
              </w:rPr>
            </w:pPr>
          </w:p>
        </w:tc>
        <w:tc>
          <w:tcPr>
            <w:tcW w:w="1557" w:type="dxa"/>
            <w:noWrap/>
            <w:vAlign w:val="center"/>
          </w:tcPr>
          <w:p>
            <w:pPr>
              <w:pStyle w:val="3"/>
              <w:ind w:firstLine="0"/>
              <w:outlineLvl w:val="3"/>
              <w:rPr>
                <w:rFonts w:ascii="Times New Roman" w:hAnsi="Times New Roman"/>
                <w:b w:val="0"/>
                <w:bCs/>
              </w:rPr>
            </w:pPr>
          </w:p>
        </w:tc>
        <w:tc>
          <w:tcPr>
            <w:tcW w:w="1439" w:type="dxa"/>
            <w:noWrap/>
            <w:vAlign w:val="center"/>
          </w:tcPr>
          <w:p>
            <w:pPr>
              <w:pStyle w:val="3"/>
              <w:ind w:firstLine="0"/>
              <w:outlineLvl w:val="3"/>
              <w:rPr>
                <w:rFonts w:ascii="Times New Roman" w:hAnsi="Times New Roman"/>
                <w:b w:val="0"/>
                <w:bCs/>
              </w:rPr>
            </w:pPr>
          </w:p>
        </w:tc>
        <w:tc>
          <w:tcPr>
            <w:tcW w:w="1296" w:type="dxa"/>
            <w:noWrap/>
            <w:vAlign w:val="center"/>
          </w:tcPr>
          <w:p>
            <w:pPr>
              <w:pStyle w:val="3"/>
              <w:ind w:firstLine="0"/>
              <w:outlineLvl w:val="3"/>
              <w:rPr>
                <w:rFonts w:ascii="Times New Roman" w:hAnsi="Times New Roman"/>
                <w:b w:val="0"/>
                <w:bCs/>
              </w:rPr>
            </w:pPr>
          </w:p>
        </w:tc>
        <w:tc>
          <w:tcPr>
            <w:tcW w:w="2691" w:type="dxa"/>
            <w:noWrap/>
            <w:vAlign w:val="center"/>
          </w:tcPr>
          <w:p>
            <w:pPr>
              <w:pStyle w:val="3"/>
              <w:ind w:firstLine="0"/>
              <w:outlineLvl w:val="3"/>
              <w:rPr>
                <w:rFonts w:ascii="Times New Roman" w:hAnsi="Times New Roman"/>
                <w:b w:val="0"/>
                <w:bCs/>
              </w:rPr>
            </w:pPr>
          </w:p>
        </w:tc>
        <w:tc>
          <w:tcPr>
            <w:tcW w:w="1881" w:type="dxa"/>
            <w:noWrap/>
            <w:vAlign w:val="center"/>
          </w:tcPr>
          <w:p>
            <w:pPr>
              <w:pStyle w:val="3"/>
              <w:ind w:firstLine="0"/>
              <w:outlineLvl w:val="3"/>
              <w:rPr>
                <w:rFonts w:ascii="Times New Roman" w:hAnsi="Times New Roman"/>
                <w:b w:val="0"/>
                <w:bCs/>
              </w:rPr>
            </w:pPr>
          </w:p>
        </w:tc>
        <w:tc>
          <w:tcPr>
            <w:tcW w:w="1546" w:type="dxa"/>
            <w:noWrap/>
            <w:vAlign w:val="center"/>
          </w:tcPr>
          <w:p>
            <w:pPr>
              <w:pStyle w:val="3"/>
              <w:ind w:firstLine="0"/>
              <w:outlineLvl w:val="3"/>
              <w:rPr>
                <w:rFonts w:ascii="Times New Roman" w:hAnsi="Times New Roman"/>
                <w:b w:val="0"/>
                <w:bCs/>
              </w:rPr>
            </w:pPr>
          </w:p>
        </w:tc>
        <w:tc>
          <w:tcPr>
            <w:tcW w:w="1020" w:type="dxa"/>
            <w:noWrap/>
            <w:vAlign w:val="center"/>
          </w:tcPr>
          <w:p>
            <w:pPr>
              <w:pStyle w:val="3"/>
              <w:ind w:firstLine="0"/>
              <w:outlineLvl w:val="3"/>
              <w:rPr>
                <w:rFonts w:ascii="Times New Roman" w:hAnsi="Times New Roman"/>
                <w:b w:val="0"/>
                <w:bCs/>
              </w:rPr>
            </w:pPr>
          </w:p>
        </w:tc>
        <w:tc>
          <w:tcPr>
            <w:tcW w:w="1170" w:type="dxa"/>
            <w:noWrap/>
            <w:vAlign w:val="center"/>
          </w:tcPr>
          <w:p>
            <w:pPr>
              <w:pStyle w:val="3"/>
              <w:ind w:firstLine="0"/>
              <w:outlineLvl w:val="3"/>
              <w:rPr>
                <w:rFonts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890" w:type="dxa"/>
            <w:gridSpan w:val="9"/>
            <w:noWrap/>
            <w:vAlign w:val="center"/>
          </w:tcPr>
          <w:p>
            <w:pPr>
              <w:spacing w:line="376" w:lineRule="exact"/>
              <w:jc w:val="left"/>
              <w:rPr>
                <w:rFonts w:ascii="Times New Roman" w:hAnsi="Times New Roman"/>
                <w:sz w:val="24"/>
                <w:szCs w:val="21"/>
              </w:rPr>
            </w:pPr>
            <w:r>
              <w:rPr>
                <w:rFonts w:ascii="Times New Roman"/>
                <w:bCs/>
                <w:sz w:val="24"/>
                <w:szCs w:val="21"/>
              </w:rPr>
              <w:t>备注：请</w:t>
            </w:r>
            <w:r>
              <w:rPr>
                <w:rFonts w:ascii="Times New Roman" w:hAnsi="Times New Roman"/>
                <w:sz w:val="24"/>
                <w:szCs w:val="21"/>
              </w:rPr>
              <w:t>各调研课题牵头处室于6月底前将《调研课题推动及成果转化清单》以及调研结束后形成的调研报告报备至办公室，由办公室整理汇编成册。同时，局党委将根据调研课题推进情况，适时召开党委会，听取局领导、各处室（单位）调查研究工作开展情况，统筹协调遇到的问题困难，研究对策措施。</w:t>
            </w:r>
          </w:p>
        </w:tc>
      </w:tr>
    </w:tbl>
    <w:p>
      <w:pPr>
        <w:rPr>
          <w:rFonts w:ascii="Times New Roman" w:hAnsi="Times New Roman"/>
        </w:rPr>
        <w:sectPr>
          <w:pgSz w:w="16838" w:h="11906" w:orient="landscape"/>
          <w:pgMar w:top="2098" w:right="1474" w:bottom="1985" w:left="1588" w:header="851" w:footer="1418" w:gutter="0"/>
          <w:cols w:space="720" w:num="1"/>
          <w:docGrid w:type="lines" w:linePitch="442" w:charSpace="0"/>
        </w:sectPr>
      </w:pPr>
    </w:p>
    <w:p>
      <w:pPr>
        <w:tabs>
          <w:tab w:val="left" w:pos="3612"/>
        </w:tabs>
        <w:bidi w:val="0"/>
        <w:jc w:val="left"/>
        <w:rPr>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MmUyZDU3ZDlhNjhmM2RkMWRmNTllNzMyMmJiM2IifQ=="/>
  </w:docVars>
  <w:rsids>
    <w:rsidRoot w:val="00000000"/>
    <w:rsid w:val="65314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4"/>
    <w:basedOn w:val="4"/>
    <w:next w:val="1"/>
    <w:qFormat/>
    <w:uiPriority w:val="0"/>
    <w:pPr>
      <w:keepNext/>
      <w:keepLines/>
      <w:spacing w:line="372" w:lineRule="auto"/>
      <w:outlineLvl w:val="3"/>
    </w:pPr>
    <w:rPr>
      <w:rFonts w:ascii="Arial" w:hAnsi="Arial"/>
      <w:b/>
      <w:sz w:val="28"/>
    </w:rPr>
  </w:style>
  <w:style w:type="paragraph" w:styleId="4">
    <w:name w:val="heading 5"/>
    <w:basedOn w:val="1"/>
    <w:next w:val="1"/>
    <w:qFormat/>
    <w:uiPriority w:val="9"/>
    <w:pPr>
      <w:ind w:firstLine="640"/>
      <w:jc w:val="center"/>
      <w:outlineLvl w:val="4"/>
    </w:pPr>
    <w:rPr>
      <w:rFonts w:ascii="黑体" w:eastAsia="黑体"/>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2023-05-15T09:46:50Z</dcterms:created>
  <dc:creator>admin</dc:creator>
  <cp:lastModifiedBy>辉哥</cp:lastModifiedBy>
  <dcterms:modified xsi:type="dcterms:W3CDTF">2023-05-15T09:47:37Z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38F476F328924630BEC70D4F6F760891_12</vt:lpwstr>
  </property>
</Properties>
</file>